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A" w:rsidRPr="000F62DA" w:rsidRDefault="000F62DA" w:rsidP="000F62DA">
      <w:pPr>
        <w:spacing w:after="0" w:line="240" w:lineRule="auto"/>
        <w:rPr>
          <w:rFonts w:eastAsia="Times New Roman" w:cstheme="minorHAnsi"/>
          <w:b/>
          <w:sz w:val="40"/>
          <w:szCs w:val="40"/>
          <w:lang w:eastAsia="pl-PL"/>
        </w:rPr>
      </w:pPr>
      <w:bookmarkStart w:id="0" w:name="_GoBack"/>
      <w:r w:rsidRPr="000F62DA">
        <w:rPr>
          <w:rFonts w:eastAsia="Times New Roman" w:cstheme="minorHAnsi"/>
          <w:b/>
          <w:color w:val="000000"/>
          <w:sz w:val="40"/>
          <w:szCs w:val="40"/>
          <w:lang w:eastAsia="pl-PL"/>
        </w:rPr>
        <w:t>Ogłoszenie nr 615795-N-2020 z dnia 2020-11-25 r.</w:t>
      </w:r>
      <w:r w:rsidRPr="000F62DA">
        <w:rPr>
          <w:rFonts w:eastAsia="Times New Roman" w:cstheme="minorHAnsi"/>
          <w:b/>
          <w:color w:val="000000"/>
          <w:sz w:val="40"/>
          <w:szCs w:val="40"/>
          <w:lang w:eastAsia="pl-PL"/>
        </w:rPr>
        <w:br/>
      </w:r>
    </w:p>
    <w:bookmarkEnd w:id="0"/>
    <w:p w:rsidR="000F62DA" w:rsidRPr="000F62DA" w:rsidRDefault="000F62DA" w:rsidP="000F62DA">
      <w:pPr>
        <w:spacing w:after="0" w:line="45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Bałtycka Agencja Artystyczna BART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Dostawa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krzeseł koncertowo/konferencyjnych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OGŁOSZENIE O ZAMÓWIENIU - Dostawy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Zamieszczanie ogłoszenia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Zamieszczanie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obowiązkowe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Ogłoszenie dotyczy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Zamówienia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publicznego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projektu lub programu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Postępowanie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jest przeprowadzane wspólnie przez zamawiających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Postępowanie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jest przeprowadzane wspólnie z zamawiającymi z innych państw członkowskich Unii Europejskiej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Informacje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dodatkowe: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 1) NAZWA I ADRES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Bałtycka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Agencja Artystyczna BART, krajowy numer identyfikacyjny 27913700000000, ul. ul. Kościuszki  61 , 81-703  Sopot, woj. pomorskie, państwo Polska, tel. , e-mail bmajka@sopot.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pl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, faks 585 558 442.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 strony internetowej (URL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): www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bart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sopot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.pl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 profilu nabywcy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 2) RODZAJ ZAMAWIAJĄCEGO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Inny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(proszę określić):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Instytucja kultury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I.3) WSPÓLNE UDZIELANIE 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ZAMÓWIENIA </w:t>
      </w:r>
      <w:r w:rsidRPr="000F62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(jeżeli</w:t>
      </w:r>
      <w:proofErr w:type="gramEnd"/>
      <w:r w:rsidRPr="000F62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dotyczy)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Europejskiej (który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udzielane przez każdego z zamawiających indywidualnie, czy zamówienie zostanie udzielone w imieniu i na rzecz pozostałych zamawiających):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I.4) KOMUNIKACJA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Nieograniczony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pełny i bezpośredni dostęp do dokumentów z postępowania można uzyskać pod adresem (URL)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www.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bart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sopot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pl</w:t>
      </w:r>
      <w:proofErr w:type="gramEnd"/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www.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bart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sopot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pl</w:t>
      </w:r>
      <w:proofErr w:type="gramEnd"/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Elektronicznie</w:t>
      </w:r>
      <w:proofErr w:type="gramEnd"/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Inny sposób: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postępowaniu 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w inny sposób: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Tak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Inny sposób: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pisemnie w postaci papierowej lub elektronicznej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postaci papierowej na adres Zamawiającego a elektronicznej przez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miniPortal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ePUAP</w:t>
      </w:r>
      <w:proofErr w:type="spellEnd"/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II.1) Nazwa nadana zamówieniu przez zamawiającego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Dostawa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krzeseł koncertowo/konferencyjnych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Numer referencyjny: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ZP/1/2020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0F62DA" w:rsidRPr="000F62DA" w:rsidRDefault="000F62DA" w:rsidP="000F62DA">
      <w:pPr>
        <w:spacing w:after="0" w:line="45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II.2) Rodzaj zamówienia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Dostawy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Zamówienie podzielone jest na części: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Tak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Maksymalna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liczba części zamówienia, na które może zostać udzielone zamówienie jednemu wykonawcy: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</w:t>
      </w:r>
      <w:proofErr w:type="gramStart"/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)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a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przypadku partnerstwa innowacyjnego - określenie zapotrzebowania na innowacyjny produkt, usługę lub roboty budowlane: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Przedmiotem zamówienia jest dostawa 300 sztuk krzeseł koncertowo/konferencyjnych. Szczegółowy opis przedmiotu zamówienia znajduje się w: 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sym w:font="Symbol" w:char="F0D8"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załączniku nr 1 do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siwz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 nazwą opis przedmiotu zamówienia zwany dalej w treści „OPZ” 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sym w:font="Symbol" w:char="F0D8"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Rozdział 13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siwz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 nazwą WZÓR UMOWY, w którym opisany został sposób realizacji.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II.5) Główny kod CPV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39113000-7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Dodatkowe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</w:tblGrid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Kod CPV</w:t>
            </w:r>
          </w:p>
        </w:tc>
      </w:tr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39113000-7</w:t>
            </w:r>
          </w:p>
        </w:tc>
      </w:tr>
    </w:tbl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(jeżeli zamawiający podaje informacje o wartości zamówienia</w:t>
      </w:r>
      <w:proofErr w:type="gramStart"/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)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Wartość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bez VAT: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Waluta: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Pzp</w:t>
      </w:r>
      <w:proofErr w:type="spellEnd"/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miesiącach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  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 lub 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dniach: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lub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rozpoczęcia: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 lub 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zakończenia: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2020-12-21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525"/>
        <w:gridCol w:w="1688"/>
        <w:gridCol w:w="1726"/>
      </w:tblGrid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Data zakończenia</w:t>
            </w:r>
          </w:p>
        </w:tc>
      </w:tr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2020-12-21</w:t>
            </w:r>
          </w:p>
        </w:tc>
      </w:tr>
    </w:tbl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Określenie warunków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dodatkowe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Określenie warunków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dodatkowe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Określenie warunków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Zamawiający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Nie Zamawiający przewiduje następujące fakultatywne podstawy wykluczenia: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Tak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Nie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III.4) WYKAZ OŚWIADCZEŃ LUB 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DOKUMENTÓW , 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III.5.1) W ZAKRESIE SPEŁNIANIA WARUNKÓW UDZIAŁU W POSTĘPOWANIU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.5.2) W ZAKRESIE KRYTERIÓW SELEKCJI: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III.7) INNE DOKUMENTY 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WYMIENIONE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pkt III.3) - III.6)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IV.1) OPIS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IV.1.1) Tryb udzielenia zamówienia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Przetarg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nieograniczony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Informacja na temat wadium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Dopuszcza się złożenie oferty wariantowej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Nie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lastRenderedPageBreak/>
        <w:t>(przetarg ograniczony, negocjacje z ogłoszeniem, dialog konkurencyjny, partnerstwo innowacyjne)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Liczba wykonawców 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Przewidywana minimalna liczba wykonawców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Maksymalna liczba wykonawców 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Kryteria selekcji wykonawców: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Umowa ramowa będzie zawarta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Czy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przewiduje się ograniczenie liczby uczestników umowy ramowej: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IV.1.8) Aukcja elektroniczna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(przetarg nieograniczony, przetarg ograniczony, negocjacje z ogłoszeniem</w:t>
      </w:r>
      <w:proofErr w:type="gramStart"/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)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Wymagania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dotyczące rejestracji i identyfikacji wykonawców w aukcji elektronicznej: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Czas trwania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Czy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wykonawcy, którzy nie złożyli nowych postąpień, zostaną zakwalifikowani do następnego etapu: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Warunki zamknięcia aukcji elektronicznej: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IV.2) KRYTERIA OCENY OFERT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IV.2.1) Kryteria oceny ofert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00"/>
      </w:tblGrid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Znaczenie</w:t>
            </w:r>
          </w:p>
        </w:tc>
      </w:tr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60,00</w:t>
            </w:r>
          </w:p>
        </w:tc>
      </w:tr>
      <w:tr w:rsidR="000F62DA" w:rsidRPr="000F62DA" w:rsidTr="000F6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okres</w:t>
            </w:r>
            <w:proofErr w:type="gramEnd"/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2DA" w:rsidRPr="000F62DA" w:rsidRDefault="000F62DA" w:rsidP="000F62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62DA">
              <w:rPr>
                <w:rFonts w:eastAsia="Times New Roman" w:cstheme="minorHAnsi"/>
                <w:sz w:val="24"/>
                <w:szCs w:val="24"/>
                <w:lang w:eastAsia="pl-PL"/>
              </w:rPr>
              <w:t>40,00</w:t>
            </w:r>
          </w:p>
        </w:tc>
      </w:tr>
    </w:tbl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(przetarg nieograniczony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Tak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Minimalne wymagania, które muszą spełniać wszystkie oferty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Przewidziane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zastrzeżenie prawa do udzielenia zamówienia na podstawie ofert wstępnych bez przeprowadzenia negocjacji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Opis potrzeb i wymagań zamawiającego lub informacja o sposobie uzyskania tego opisu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Wstępny harmonogram postępowania: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Podział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IV.4) Licytacja elektroniczna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Czas trwania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Wykonawcy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, którzy nie złożyli nowych postąpień, zostaną zakwalifikowani do następnego etapu: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Termin składania wniosków o dopuszczenie do udziału w licytacji elektronicznej</w:t>
      </w:r>
      <w:proofErr w:type="gramStart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Data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 godzina: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Termin otwarcia licytacji elektronicznej: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Termin i warunki zamknięcia licytacji elektronicznej: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Informacje dodatkowe: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IV.5) ZMIANA UMOWY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Nie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(jeżeli dotyczy</w:t>
      </w:r>
      <w:proofErr w:type="gramStart"/>
      <w:r w:rsidRPr="000F62DA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Środki</w:t>
      </w:r>
      <w:proofErr w:type="gramEnd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służące ochronie informacji o charakterze poufnym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Data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 2020-12-03, godzina: 12:00,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Wskazać powody: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  <w:t>&gt;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IV.6.3) Termin związania ofertą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do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: okres w dniach: 30 (od ostatecznego terminu składania ofert)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przypadku </w:t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nieprzyznania środków, które miały być przeznaczone na sfinansowanie całości lub części zamówienia</w:t>
      </w:r>
      <w:proofErr w:type="gramStart"/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t> Tak</w:t>
      </w:r>
      <w:proofErr w:type="gramEnd"/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F62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IV.6.5) Informacje dodatkowe:</w:t>
      </w:r>
      <w:r w:rsidRPr="000F62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F62DA" w:rsidRPr="000F62DA" w:rsidRDefault="000F62DA" w:rsidP="000F62DA">
      <w:pPr>
        <w:spacing w:after="0" w:line="45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F62D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F62DA" w:rsidRPr="000F62DA" w:rsidRDefault="000F62DA" w:rsidP="000F62DA">
      <w:pPr>
        <w:spacing w:after="0" w:line="45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6656C" w:rsidRPr="000F62DA" w:rsidRDefault="0036656C">
      <w:pPr>
        <w:rPr>
          <w:rFonts w:cstheme="minorHAnsi"/>
          <w:sz w:val="24"/>
          <w:szCs w:val="24"/>
        </w:rPr>
      </w:pPr>
    </w:p>
    <w:sectPr w:rsidR="0036656C" w:rsidRPr="000F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A"/>
    <w:rsid w:val="000F62DA"/>
    <w:rsid w:val="003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96BE-443E-4CD8-A7F1-7AF6958C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</dc:creator>
  <cp:keywords/>
  <dc:description/>
  <cp:lastModifiedBy>KSM</cp:lastModifiedBy>
  <cp:revision>1</cp:revision>
  <dcterms:created xsi:type="dcterms:W3CDTF">2020-11-25T15:53:00Z</dcterms:created>
  <dcterms:modified xsi:type="dcterms:W3CDTF">2020-11-25T15:54:00Z</dcterms:modified>
</cp:coreProperties>
</file>